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D2" w:rsidRDefault="004C39D2" w:rsidP="004C39D2">
      <w:pPr>
        <w:widowControl w:val="0"/>
        <w:autoSpaceDE w:val="0"/>
        <w:autoSpaceDN w:val="0"/>
        <w:adjustRightInd w:val="0"/>
        <w:jc w:val="center"/>
        <w:rPr>
          <w:rFonts w:ascii="Tahoma" w:hAnsi="Tahoma" w:cs="Tahoma"/>
          <w:b/>
          <w:bCs/>
          <w:sz w:val="28"/>
          <w:szCs w:val="28"/>
        </w:rPr>
      </w:pPr>
      <w:r>
        <w:rPr>
          <w:rFonts w:ascii="Tahoma" w:hAnsi="Tahoma" w:cs="Tahoma"/>
          <w:b/>
          <w:bCs/>
          <w:sz w:val="28"/>
          <w:szCs w:val="28"/>
        </w:rPr>
        <w:t>HONORING UNION VETERANS</w:t>
      </w:r>
    </w:p>
    <w:p w:rsidR="004C39D2" w:rsidRDefault="004C39D2" w:rsidP="004C39D2">
      <w:pPr>
        <w:widowControl w:val="0"/>
        <w:autoSpaceDE w:val="0"/>
        <w:autoSpaceDN w:val="0"/>
        <w:adjustRightInd w:val="0"/>
        <w:jc w:val="center"/>
        <w:rPr>
          <w:rFonts w:ascii="Tahoma" w:hAnsi="Tahoma" w:cs="Tahoma"/>
          <w:b/>
          <w:bCs/>
          <w:sz w:val="28"/>
          <w:szCs w:val="28"/>
        </w:rPr>
      </w:pPr>
    </w:p>
    <w:p w:rsidR="004C39D2" w:rsidRDefault="004C39D2" w:rsidP="004C39D2">
      <w:pPr>
        <w:widowControl w:val="0"/>
        <w:autoSpaceDE w:val="0"/>
        <w:autoSpaceDN w:val="0"/>
        <w:adjustRightInd w:val="0"/>
        <w:jc w:val="center"/>
        <w:rPr>
          <w:rFonts w:ascii="Tahoma" w:hAnsi="Tahoma" w:cs="Tahoma"/>
          <w:sz w:val="24"/>
          <w:szCs w:val="24"/>
        </w:rPr>
      </w:pPr>
      <w:r>
        <w:rPr>
          <w:rFonts w:ascii="Tahoma" w:hAnsi="Tahoma" w:cs="Tahoma"/>
          <w:sz w:val="24"/>
          <w:szCs w:val="24"/>
        </w:rPr>
        <w:t>On August 21, a ceremony in the Maple Grove Cemetery honored Seth M. Flint, a Union Army private who was General Grant's bugler. At least the following 71 other Union veterans are buried in the same cemetery but received no honors. There are similar personally unrecognized Union veterans buried in the Maple View, East Worcester, St, Joseph's, South Worcester, Strain, Hall and Hollenbeck Cemeteries in the Town of Worcester.</w:t>
      </w:r>
    </w:p>
    <w:p w:rsidR="004C39D2" w:rsidRDefault="004C39D2" w:rsidP="004C39D2">
      <w:pPr>
        <w:widowControl w:val="0"/>
        <w:autoSpaceDE w:val="0"/>
        <w:autoSpaceDN w:val="0"/>
        <w:adjustRightInd w:val="0"/>
        <w:jc w:val="center"/>
        <w:rPr>
          <w:rFonts w:ascii="Tahoma" w:hAnsi="Tahoma" w:cs="Tahoma"/>
          <w:sz w:val="24"/>
          <w:szCs w:val="24"/>
        </w:rPr>
      </w:pP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4C39D2">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Michael P. Agan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William H. Albert</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Iaac S. Atkins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Moses D. Bentley</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John Breen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Samuel Burnside</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William Campbell</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Charles P. Childs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David Cipperly</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George Cooper</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Ransom Denoyell</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*Randolph Fields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Frederick W. Fisk</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Alfred Foland</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Judson Goodenough</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Henry J. Goodrich</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Albert D. Gross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*Richard I. Hartwell</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Elias Henness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 Clinton Houghton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Sylvester Hughes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Daniel Ives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William H. Jackson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*George H. Knapp</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 xml:space="preserve">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William L. Knapp</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Sylvester Lape</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William H. Leonard</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William Harrison Mallory</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Richard C. Mangan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*George Markham</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Francis McCormick</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Napoleon B. McLaughlen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Hiram Sylvester Mereness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Alfred Munroe</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Joseph E. Morehouse</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*Wilbur D. Mosier</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Tunige Nisbeth</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John Oathout</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*Irwin Madison Persons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*William K. Persons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Harrison Pettie</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William Pierce</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Wilbur F. Poor</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Aaron L. Putnam</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Elijah B. Putnam</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*Paul A. Queal</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Orrin H. Queal</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William S. Queal</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James W. Robinson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*Martin Rockefellow</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Nelson B. Root</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Horatio Watson Shaw</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Josephus Simmons</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David R. Smith</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David S. Smith</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Jeremiah B. Smith</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Morton Devaraux Smith</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Orlando Spirbeck</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Asher Starkweather</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Perry W. Tripp</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John K. Tyler</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Marvin S. Vaughan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Charles Orville Waterman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Lester M. Waterman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Perrin Waterman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*Silas Waterman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*John C. Wieting, Jr.</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Charles Wilsey</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Simon P. Wilson</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*Edward K. Wright</w:t>
            </w:r>
          </w:p>
          <w:p w:rsidR="004C39D2" w:rsidRDefault="004C39D2">
            <w:pPr>
              <w:widowControl w:val="0"/>
              <w:autoSpaceDE w:val="0"/>
              <w:autoSpaceDN w:val="0"/>
              <w:adjustRightInd w:val="0"/>
              <w:jc w:val="center"/>
              <w:rPr>
                <w:rFonts w:ascii="Tahoma" w:hAnsi="Tahoma" w:cs="Tahoma"/>
                <w:sz w:val="24"/>
                <w:szCs w:val="24"/>
              </w:rPr>
            </w:pPr>
            <w:r>
              <w:rPr>
                <w:rFonts w:ascii="Tahoma" w:hAnsi="Tahoma" w:cs="Tahoma"/>
                <w:sz w:val="24"/>
                <w:szCs w:val="24"/>
              </w:rPr>
              <w:t xml:space="preserve"> George B. Wright </w:t>
            </w:r>
          </w:p>
        </w:tc>
      </w:tr>
    </w:tbl>
    <w:p w:rsidR="004C39D2" w:rsidRDefault="004C39D2" w:rsidP="004C39D2">
      <w:pPr>
        <w:widowControl w:val="0"/>
        <w:autoSpaceDE w:val="0"/>
        <w:autoSpaceDN w:val="0"/>
        <w:adjustRightInd w:val="0"/>
        <w:jc w:val="center"/>
        <w:rPr>
          <w:rFonts w:ascii="Tahoma" w:hAnsi="Tahoma" w:cs="Tahoma"/>
          <w:sz w:val="24"/>
          <w:szCs w:val="24"/>
        </w:rPr>
      </w:pPr>
      <w:r>
        <w:rPr>
          <w:rFonts w:ascii="Tahoma" w:hAnsi="Tahoma" w:cs="Tahoma"/>
          <w:sz w:val="24"/>
          <w:szCs w:val="24"/>
        </w:rPr>
        <w:t xml:space="preserve">          * Died in service</w:t>
      </w:r>
    </w:p>
    <w:p w:rsidR="00CC00DE" w:rsidRDefault="00CC00DE">
      <w:bookmarkStart w:id="0" w:name="_GoBack"/>
      <w:bookmarkEnd w:id="0"/>
    </w:p>
    <w:sectPr w:rsidR="00CC00DE" w:rsidSect="00A969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D2"/>
    <w:rsid w:val="004C39D2"/>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Macintosh Word</Application>
  <DocSecurity>0</DocSecurity>
  <Lines>12</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2025-03-14T21:52:00Z</dcterms:created>
  <dcterms:modified xsi:type="dcterms:W3CDTF">2025-03-14T21:52:00Z</dcterms:modified>
</cp:coreProperties>
</file>